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559" w:rsidRDefault="00DA1559" w:rsidP="00DA1559">
      <w:pPr>
        <w:jc w:val="right"/>
      </w:pPr>
      <w:r>
        <w:t>Приложение 1 к документации о закупке</w:t>
      </w:r>
    </w:p>
    <w:p w:rsidR="00DA1559" w:rsidRDefault="00DA1559" w:rsidP="00DA1559">
      <w:pPr>
        <w:jc w:val="right"/>
      </w:pPr>
    </w:p>
    <w:p w:rsidR="004D4EEC" w:rsidRPr="0022656D" w:rsidRDefault="004D4EEC" w:rsidP="004D4EEC">
      <w:pPr>
        <w:ind w:firstLine="567"/>
        <w:jc w:val="center"/>
        <w:rPr>
          <w:rFonts w:ascii="Tahoma" w:eastAsia="Times New Roman" w:hAnsi="Tahoma" w:cs="Tahoma"/>
          <w:b/>
          <w:sz w:val="20"/>
          <w:szCs w:val="20"/>
        </w:rPr>
      </w:pPr>
      <w:r w:rsidRPr="0022656D">
        <w:rPr>
          <w:rFonts w:ascii="Tahoma" w:eastAsia="Times New Roman" w:hAnsi="Tahoma" w:cs="Tahoma"/>
          <w:b/>
          <w:sz w:val="20"/>
          <w:szCs w:val="20"/>
        </w:rPr>
        <w:t>Техническое задание</w:t>
      </w:r>
    </w:p>
    <w:p w:rsidR="00DA1559" w:rsidRPr="0022656D" w:rsidRDefault="004D4EEC" w:rsidP="0022656D">
      <w:pPr>
        <w:ind w:firstLine="567"/>
        <w:jc w:val="center"/>
        <w:rPr>
          <w:rFonts w:ascii="Tahoma" w:eastAsia="Times New Roman" w:hAnsi="Tahoma" w:cs="Tahoma"/>
          <w:b/>
          <w:sz w:val="20"/>
          <w:szCs w:val="20"/>
          <w:lang w:eastAsia="ru-RU"/>
        </w:rPr>
      </w:pPr>
      <w:r w:rsidRPr="0022656D">
        <w:rPr>
          <w:rFonts w:ascii="Tahoma" w:eastAsia="Times New Roman" w:hAnsi="Tahoma" w:cs="Tahoma"/>
          <w:b/>
          <w:sz w:val="20"/>
          <w:szCs w:val="20"/>
        </w:rPr>
        <w:t>На о</w:t>
      </w:r>
      <w:r w:rsidRPr="004D4EEC">
        <w:rPr>
          <w:rFonts w:ascii="Tahoma" w:eastAsia="Times New Roman" w:hAnsi="Tahoma" w:cs="Tahoma"/>
          <w:b/>
          <w:sz w:val="20"/>
          <w:szCs w:val="20"/>
        </w:rPr>
        <w:t>казание услуг по замене и активации фискальных накопителей с предоставлением услуг оператора фискальных данных</w:t>
      </w:r>
      <w:r w:rsidRPr="004D4EEC">
        <w:rPr>
          <w:rFonts w:ascii="Tahoma" w:eastAsia="Times New Roman" w:hAnsi="Tahoma" w:cs="Tahoma"/>
          <w:b/>
          <w:i/>
          <w:sz w:val="20"/>
          <w:szCs w:val="20"/>
        </w:rPr>
        <w:t xml:space="preserve"> </w:t>
      </w:r>
      <w:r w:rsidRPr="004D4EEC">
        <w:rPr>
          <w:rFonts w:ascii="Tahoma" w:eastAsia="Times New Roman" w:hAnsi="Tahoma" w:cs="Tahoma"/>
          <w:b/>
          <w:sz w:val="20"/>
          <w:szCs w:val="20"/>
        </w:rPr>
        <w:t>для</w:t>
      </w:r>
      <w:r w:rsidRPr="004D4EEC">
        <w:rPr>
          <w:rFonts w:ascii="Tahoma" w:eastAsia="Times New Roman" w:hAnsi="Tahoma" w:cs="Tahoma"/>
          <w:b/>
          <w:i/>
          <w:sz w:val="20"/>
          <w:szCs w:val="20"/>
        </w:rPr>
        <w:t xml:space="preserve"> </w:t>
      </w:r>
      <w:r w:rsidRPr="004D4EEC">
        <w:rPr>
          <w:rFonts w:ascii="Tahoma" w:eastAsia="Times New Roman" w:hAnsi="Tahoma" w:cs="Tahoma"/>
          <w:b/>
          <w:sz w:val="20"/>
          <w:szCs w:val="20"/>
        </w:rPr>
        <w:t>нужд</w:t>
      </w:r>
      <w:r w:rsidRPr="004D4EEC">
        <w:rPr>
          <w:rFonts w:ascii="Tahoma" w:eastAsia="Times New Roman" w:hAnsi="Tahoma" w:cs="Tahoma"/>
          <w:b/>
          <w:i/>
          <w:sz w:val="20"/>
          <w:szCs w:val="20"/>
        </w:rPr>
        <w:t xml:space="preserve"> </w:t>
      </w:r>
      <w:r w:rsidRPr="004D4EEC">
        <w:rPr>
          <w:rFonts w:ascii="Tahoma" w:eastAsia="Times New Roman" w:hAnsi="Tahoma" w:cs="Tahoma"/>
          <w:b/>
          <w:sz w:val="20"/>
          <w:szCs w:val="20"/>
        </w:rPr>
        <w:t>Оренбургского филиала АО «ЭнергосбыТ Плюс»</w:t>
      </w:r>
    </w:p>
    <w:p w:rsidR="00DA1559" w:rsidRDefault="00DA1559" w:rsidP="00DA1559">
      <w:pPr>
        <w:jc w:val="center"/>
        <w:rPr>
          <w:rFonts w:ascii="Tahoma" w:hAnsi="Tahoma" w:cs="Tahoma"/>
        </w:rPr>
      </w:pPr>
    </w:p>
    <w:tbl>
      <w:tblPr>
        <w:tblStyle w:val="a3"/>
        <w:tblW w:w="10774" w:type="dxa"/>
        <w:tblInd w:w="-856" w:type="dxa"/>
        <w:tblLook w:val="04A0" w:firstRow="1" w:lastRow="0" w:firstColumn="1" w:lastColumn="0" w:noHBand="0" w:noVBand="1"/>
      </w:tblPr>
      <w:tblGrid>
        <w:gridCol w:w="567"/>
        <w:gridCol w:w="2978"/>
        <w:gridCol w:w="7229"/>
      </w:tblGrid>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п/п</w:t>
            </w:r>
          </w:p>
        </w:tc>
        <w:tc>
          <w:tcPr>
            <w:tcW w:w="2978"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Требования</w:t>
            </w:r>
          </w:p>
          <w:p w:rsidR="004D4EEC" w:rsidRPr="0022656D" w:rsidRDefault="004D4EEC" w:rsidP="004D4EEC">
            <w:pPr>
              <w:jc w:val="cente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Описание</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1</w:t>
            </w:r>
          </w:p>
        </w:tc>
        <w:tc>
          <w:tcPr>
            <w:tcW w:w="2978"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rPr>
                <w:rFonts w:ascii="Tahoma" w:hAnsi="Tahoma" w:cs="Tahoma"/>
                <w:sz w:val="20"/>
                <w:szCs w:val="20"/>
              </w:rPr>
            </w:pPr>
            <w:r w:rsidRPr="0022656D">
              <w:rPr>
                <w:rFonts w:ascii="Tahoma" w:hAnsi="Tahoma" w:cs="Tahoma"/>
                <w:sz w:val="20"/>
                <w:szCs w:val="20"/>
              </w:rPr>
              <w:t>Наименование услуги</w:t>
            </w:r>
          </w:p>
          <w:p w:rsidR="004D4EEC" w:rsidRPr="0022656D" w:rsidRDefault="004D4EEC" w:rsidP="004D4EEC">
            <w:pP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spacing w:line="276" w:lineRule="auto"/>
              <w:jc w:val="both"/>
              <w:rPr>
                <w:rFonts w:ascii="Tahoma" w:hAnsi="Tahoma" w:cs="Tahoma"/>
                <w:sz w:val="20"/>
                <w:szCs w:val="20"/>
              </w:rPr>
            </w:pPr>
            <w:r w:rsidRPr="0022656D">
              <w:rPr>
                <w:rFonts w:ascii="Tahoma" w:hAnsi="Tahoma" w:cs="Tahoma"/>
                <w:bCs/>
                <w:color w:val="000000"/>
                <w:sz w:val="20"/>
                <w:szCs w:val="20"/>
                <w:shd w:val="clear" w:color="auto" w:fill="FFFFFF"/>
              </w:rPr>
              <w:t>Оказание услуг по замене и активации фискальных накопителей контрольно-кассовой техники, с предоставлением услуг Оператора Фискальных Данных (далее ОФД) для Центрального, Западного и Восточного отделений Оренбургского филиала АО «ЭнергосбыТ Плюс» в 2024 году.</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 xml:space="preserve">2 </w:t>
            </w:r>
          </w:p>
        </w:tc>
        <w:tc>
          <w:tcPr>
            <w:tcW w:w="2978"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rPr>
                <w:rFonts w:ascii="Tahoma" w:hAnsi="Tahoma" w:cs="Tahoma"/>
                <w:sz w:val="20"/>
                <w:szCs w:val="20"/>
              </w:rPr>
            </w:pPr>
            <w:r w:rsidRPr="0022656D">
              <w:rPr>
                <w:rFonts w:ascii="Tahoma" w:hAnsi="Tahoma" w:cs="Tahoma"/>
                <w:sz w:val="20"/>
                <w:szCs w:val="20"/>
              </w:rPr>
              <w:t>Место оказания услуги</w:t>
            </w:r>
          </w:p>
        </w:tc>
        <w:tc>
          <w:tcPr>
            <w:tcW w:w="7229"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rPr>
                <w:rFonts w:ascii="Tahoma" w:hAnsi="Tahoma" w:cs="Tahoma"/>
                <w:sz w:val="20"/>
                <w:szCs w:val="20"/>
              </w:rPr>
            </w:pPr>
            <w:r w:rsidRPr="0022656D">
              <w:rPr>
                <w:rFonts w:ascii="Tahoma" w:hAnsi="Tahoma" w:cs="Tahoma"/>
                <w:bCs/>
                <w:sz w:val="20"/>
                <w:szCs w:val="20"/>
                <w:shd w:val="clear" w:color="auto" w:fill="FFFFFF"/>
              </w:rPr>
              <w:t>Адреса, предоставленные Исполнителем в г. Оренбург, г. Орск, г. Бузулук</w:t>
            </w:r>
            <w:r w:rsidR="0022656D" w:rsidRPr="0022656D">
              <w:rPr>
                <w:rFonts w:ascii="Tahoma" w:hAnsi="Tahoma" w:cs="Tahoma"/>
                <w:sz w:val="20"/>
                <w:szCs w:val="20"/>
              </w:rPr>
              <w:t>,  г. Сорочинск, г. Кувандык.</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3</w:t>
            </w:r>
          </w:p>
        </w:tc>
        <w:tc>
          <w:tcPr>
            <w:tcW w:w="2978"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rPr>
                <w:rFonts w:ascii="Tahoma" w:hAnsi="Tahoma" w:cs="Tahoma"/>
                <w:sz w:val="20"/>
                <w:szCs w:val="20"/>
              </w:rPr>
            </w:pPr>
            <w:r w:rsidRPr="0022656D">
              <w:rPr>
                <w:rFonts w:ascii="Tahoma" w:hAnsi="Tahoma" w:cs="Tahoma"/>
                <w:sz w:val="20"/>
                <w:szCs w:val="20"/>
              </w:rPr>
              <w:t>Сроки (периоды) оказания услуги</w:t>
            </w:r>
          </w:p>
        </w:tc>
        <w:tc>
          <w:tcPr>
            <w:tcW w:w="7229"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pacing w:after="20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Начало: 01.01.2024г.</w:t>
            </w:r>
          </w:p>
          <w:p w:rsidR="004D4EEC" w:rsidRPr="0022656D" w:rsidRDefault="004D4EEC" w:rsidP="004D4EEC">
            <w:pPr>
              <w:spacing w:after="20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Окончание:31.12.2024г.</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4</w:t>
            </w:r>
          </w:p>
        </w:tc>
        <w:tc>
          <w:tcPr>
            <w:tcW w:w="2978"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rPr>
                <w:rFonts w:ascii="Tahoma" w:hAnsi="Tahoma" w:cs="Tahoma"/>
                <w:sz w:val="20"/>
                <w:szCs w:val="20"/>
              </w:rPr>
            </w:pPr>
            <w:r w:rsidRPr="0022656D">
              <w:rPr>
                <w:rFonts w:ascii="Tahoma" w:hAnsi="Tahoma" w:cs="Tahoma"/>
                <w:sz w:val="20"/>
                <w:szCs w:val="20"/>
              </w:rPr>
              <w:t>Вид, перечень и объем оказываемых услуг</w:t>
            </w:r>
          </w:p>
          <w:p w:rsidR="004D4EEC" w:rsidRPr="0022656D" w:rsidRDefault="004D4EEC" w:rsidP="004D4EEC">
            <w:pP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pacing w:line="276" w:lineRule="auto"/>
              <w:jc w:val="both"/>
              <w:rPr>
                <w:rFonts w:ascii="Tahoma" w:hAnsi="Tahoma" w:cs="Tahoma"/>
                <w:sz w:val="20"/>
                <w:szCs w:val="20"/>
                <w:lang w:eastAsia="ru-RU"/>
              </w:rPr>
            </w:pPr>
            <w:r w:rsidRPr="0022656D">
              <w:rPr>
                <w:rFonts w:ascii="Tahoma" w:hAnsi="Tahoma" w:cs="Tahoma"/>
                <w:color w:val="000000"/>
                <w:sz w:val="20"/>
                <w:szCs w:val="20"/>
              </w:rPr>
              <w:t xml:space="preserve">Ориентировочные объемы оказываемых услуг </w:t>
            </w:r>
            <w:r w:rsidRPr="0022656D">
              <w:rPr>
                <w:rFonts w:ascii="Tahoma" w:hAnsi="Tahoma" w:cs="Tahoma"/>
                <w:sz w:val="20"/>
                <w:szCs w:val="20"/>
              </w:rPr>
              <w:t xml:space="preserve">по замене и активации фискальных накопителей с предоставлением услуг оператора фискальных данных </w:t>
            </w:r>
            <w:r w:rsidRPr="0022656D">
              <w:rPr>
                <w:rFonts w:ascii="Tahoma" w:hAnsi="Tahoma" w:cs="Tahoma"/>
                <w:color w:val="000000"/>
                <w:sz w:val="20"/>
                <w:szCs w:val="20"/>
              </w:rPr>
              <w:t xml:space="preserve">представлены в </w:t>
            </w:r>
            <w:r w:rsidRPr="0022656D">
              <w:rPr>
                <w:rFonts w:ascii="Tahoma" w:hAnsi="Tahoma" w:cs="Tahoma"/>
                <w:sz w:val="20"/>
                <w:szCs w:val="20"/>
              </w:rPr>
              <w:t xml:space="preserve">Приложении №1.1 к Техническому заданию  </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5</w:t>
            </w:r>
          </w:p>
        </w:tc>
        <w:tc>
          <w:tcPr>
            <w:tcW w:w="2978"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rPr>
                <w:rFonts w:ascii="Tahoma" w:hAnsi="Tahoma" w:cs="Tahoma"/>
                <w:sz w:val="20"/>
                <w:szCs w:val="20"/>
              </w:rPr>
            </w:pPr>
            <w:r w:rsidRPr="0022656D">
              <w:rPr>
                <w:rFonts w:ascii="Tahoma" w:hAnsi="Tahoma" w:cs="Tahoma"/>
                <w:sz w:val="20"/>
                <w:szCs w:val="20"/>
              </w:rPr>
              <w:t>Требования к порядку оказания услуги</w:t>
            </w:r>
          </w:p>
          <w:p w:rsidR="004D4EEC" w:rsidRPr="0022656D" w:rsidRDefault="004D4EEC" w:rsidP="004D4EEC">
            <w:pP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pacing w:line="276" w:lineRule="auto"/>
              <w:jc w:val="both"/>
              <w:rPr>
                <w:rFonts w:ascii="Tahoma" w:hAnsi="Tahoma" w:cs="Tahoma"/>
                <w:sz w:val="20"/>
                <w:szCs w:val="20"/>
                <w:shd w:val="clear" w:color="auto" w:fill="FFFFFF"/>
                <w:lang w:eastAsia="ru-RU"/>
              </w:rPr>
            </w:pPr>
            <w:r w:rsidRPr="0022656D">
              <w:rPr>
                <w:rFonts w:ascii="Tahoma" w:hAnsi="Tahoma" w:cs="Tahoma"/>
                <w:sz w:val="20"/>
                <w:szCs w:val="20"/>
                <w:lang w:eastAsia="ru-RU"/>
              </w:rPr>
              <w:t xml:space="preserve"> </w:t>
            </w:r>
            <w:r w:rsidRPr="0022656D">
              <w:rPr>
                <w:rFonts w:ascii="Tahoma" w:hAnsi="Tahoma" w:cs="Tahoma"/>
                <w:sz w:val="20"/>
                <w:szCs w:val="20"/>
              </w:rPr>
              <w:t>На протяжении срока действия договора Заказчик передает, а Исполнитель принимает ККМ для выполне</w:t>
            </w:r>
            <w:bookmarkStart w:id="0" w:name="_GoBack"/>
            <w:bookmarkEnd w:id="0"/>
            <w:r w:rsidRPr="0022656D">
              <w:rPr>
                <w:rFonts w:ascii="Tahoma" w:hAnsi="Tahoma" w:cs="Tahoma"/>
                <w:sz w:val="20"/>
                <w:szCs w:val="20"/>
              </w:rPr>
              <w:t>ния услуг по адресам, предоставленным Исполнителем в городах Оренбург, Орс</w:t>
            </w:r>
            <w:r w:rsidR="0022656D" w:rsidRPr="0022656D">
              <w:rPr>
                <w:rFonts w:ascii="Tahoma" w:hAnsi="Tahoma" w:cs="Tahoma"/>
                <w:sz w:val="20"/>
                <w:szCs w:val="20"/>
              </w:rPr>
              <w:t>к, Бузулук, Сорочинск, Кувандык.</w:t>
            </w:r>
          </w:p>
          <w:p w:rsidR="004D4EEC" w:rsidRPr="0022656D" w:rsidRDefault="004D4EEC" w:rsidP="004D4EEC">
            <w:pPr>
              <w:jc w:val="both"/>
              <w:rPr>
                <w:rFonts w:ascii="Tahoma" w:hAnsi="Tahoma" w:cs="Tahoma"/>
                <w:color w:val="000000"/>
                <w:sz w:val="20"/>
                <w:szCs w:val="20"/>
                <w:shd w:val="clear" w:color="auto" w:fill="FFFFFF"/>
              </w:rPr>
            </w:pPr>
            <w:r w:rsidRPr="0022656D">
              <w:rPr>
                <w:rFonts w:ascii="Tahoma" w:hAnsi="Tahoma" w:cs="Tahoma"/>
                <w:bCs/>
                <w:color w:val="000000"/>
                <w:sz w:val="20"/>
                <w:szCs w:val="20"/>
                <w:shd w:val="clear" w:color="auto" w:fill="FFFFFF"/>
              </w:rPr>
              <w:t>Максимальное количество ККМ передаваемых по адресам, предоставленным Исполнителем – 6 шт/раб.</w:t>
            </w:r>
            <w:r w:rsidR="0022656D">
              <w:rPr>
                <w:rFonts w:ascii="Tahoma" w:hAnsi="Tahoma" w:cs="Tahoma"/>
                <w:bCs/>
                <w:color w:val="000000"/>
                <w:sz w:val="20"/>
                <w:szCs w:val="20"/>
                <w:shd w:val="clear" w:color="auto" w:fill="FFFFFF"/>
              </w:rPr>
              <w:t xml:space="preserve"> </w:t>
            </w:r>
            <w:r w:rsidRPr="0022656D">
              <w:rPr>
                <w:rFonts w:ascii="Tahoma" w:hAnsi="Tahoma" w:cs="Tahoma"/>
                <w:bCs/>
                <w:color w:val="000000"/>
                <w:sz w:val="20"/>
                <w:szCs w:val="20"/>
                <w:shd w:val="clear" w:color="auto" w:fill="FFFFFF"/>
              </w:rPr>
              <w:t>день.</w:t>
            </w:r>
          </w:p>
          <w:p w:rsidR="004D4EEC" w:rsidRPr="0022656D" w:rsidRDefault="004D4EEC" w:rsidP="004D4EEC">
            <w:pPr>
              <w:contextualSpacing/>
              <w:jc w:val="both"/>
              <w:rPr>
                <w:rFonts w:ascii="Tahoma" w:hAnsi="Tahoma" w:cs="Tahoma"/>
                <w:color w:val="000000"/>
                <w:sz w:val="20"/>
                <w:szCs w:val="20"/>
                <w:shd w:val="clear" w:color="auto" w:fill="FFFFFF"/>
              </w:rPr>
            </w:pPr>
            <w:r w:rsidRPr="0022656D">
              <w:rPr>
                <w:rFonts w:ascii="Tahoma" w:hAnsi="Tahoma" w:cs="Tahoma"/>
                <w:bCs/>
                <w:color w:val="000000"/>
                <w:sz w:val="20"/>
                <w:szCs w:val="20"/>
                <w:shd w:val="clear" w:color="auto" w:fill="FFFFFF"/>
              </w:rPr>
              <w:t>После передачи Исполнителю, Заказчик забирает ККМ с оказанной услугой на следующий рабочий день.</w:t>
            </w:r>
          </w:p>
          <w:p w:rsidR="004D4EEC" w:rsidRPr="0022656D" w:rsidRDefault="004D4EEC" w:rsidP="004D4EEC">
            <w:pPr>
              <w:contextualSpacing/>
              <w:jc w:val="both"/>
              <w:rPr>
                <w:rFonts w:ascii="Tahoma" w:hAnsi="Tahoma" w:cs="Tahoma"/>
                <w:color w:val="000000"/>
                <w:sz w:val="20"/>
                <w:szCs w:val="20"/>
                <w:shd w:val="clear" w:color="auto" w:fill="FFFFFF"/>
              </w:rPr>
            </w:pPr>
            <w:r w:rsidRPr="0022656D">
              <w:rPr>
                <w:rFonts w:ascii="Tahoma" w:hAnsi="Tahoma" w:cs="Tahoma"/>
                <w:sz w:val="20"/>
                <w:szCs w:val="20"/>
              </w:rPr>
              <w:t>Используемый Исполнителем при замене и активации фискальный накопитель должен соответствовать следующим требованиям:</w:t>
            </w:r>
            <w:r w:rsidRPr="0022656D">
              <w:rPr>
                <w:rFonts w:ascii="Tahoma" w:hAnsi="Tahoma" w:cs="Tahoma"/>
                <w:color w:val="000000"/>
                <w:sz w:val="20"/>
                <w:szCs w:val="20"/>
                <w:shd w:val="clear" w:color="auto" w:fill="FFFFFF"/>
              </w:rPr>
              <w:t xml:space="preserve"> </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Содержать ключи фискального признака и шифровальных данных фискальных документов и в составе ККТ обеспечивает формирование фискальных признаков, запись фискальных данных в некорректируемом виде, их энергонезависимое долгое хранение, проверку фискальных признаков, расшифровывание и аутентификацию фискальных документов, подтверждающих факт получения оператором фискальных данных фискальных документов, переданных контрольно-кассовой техникой, направляемых в контрольно-кассовую технику оператором фискальных данных,  шифрование фискальных документов в целях обеспечения конфиденциальности информации, передаваемой оператором фискальных данных.</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Быть сертифицированным в Системе сертификации РОСС RU .0001.030001.</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Быть допущен ФСБ России к эксплуатации в составе ККТ в установленном порядке.</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При использовании в ККТ, обеспечивать формирование фискальных документов в соответствии с форматом фискальных документов версии 1.1.</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xml:space="preserve">- Быть выполнен в корпусе, обеспечивающем защиту от несанкционированного доступа к элементам схемы и опломбированном его изготовителем, с нанесённым на корпус заводским номером фискального накопителя, и имеет: энергонезависимый таймер, загруженные в ФН ключ </w:t>
            </w:r>
            <w:r w:rsidRPr="0022656D">
              <w:rPr>
                <w:rFonts w:ascii="Tahoma" w:hAnsi="Tahoma" w:cs="Tahoma"/>
                <w:color w:val="000000"/>
                <w:sz w:val="20"/>
                <w:szCs w:val="20"/>
                <w:shd w:val="clear" w:color="auto" w:fill="FFFFFF"/>
              </w:rPr>
              <w:lastRenderedPageBreak/>
              <w:t>документов и ключ сообщений длиной не менее 256 бит.</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Обеспечивать взаимодействие с ККТ по одному из стандартных интерфейсов, реализованному в ККТ: I2C, RS232, UART.</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Назначенный срок службы ФН в ККТ должен составлять 450 дней со дня ввода ФН в эксплуатацию.</w:t>
            </w:r>
          </w:p>
          <w:p w:rsidR="004D4EEC" w:rsidRPr="0022656D" w:rsidRDefault="004D4EEC" w:rsidP="004D4EEC">
            <w:pPr>
              <w:widowControl w:val="0"/>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Срок эксплуатации фискального накопителя в ККТ – 15 месяцев от даты активации ФН в составе ККТ.</w:t>
            </w:r>
          </w:p>
          <w:p w:rsidR="004D4EEC" w:rsidRPr="0022656D" w:rsidRDefault="004D4EEC" w:rsidP="004D4EEC">
            <w:pPr>
              <w:widowControl w:val="0"/>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Габариты фискального накопителя: 30,2*30,2*9,4 мм.</w:t>
            </w:r>
          </w:p>
          <w:p w:rsidR="004D4EEC" w:rsidRPr="0022656D" w:rsidRDefault="004D4EEC" w:rsidP="004D4EEC">
            <w:pPr>
              <w:widowControl w:val="0"/>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Фискальный накопитель должен включать в себя услугу, оказываемую ОФД по хранению, обработке и передаче данных в ФНС на срок 15 месяцев для каждого фискального накопителя от даты активации ФН в составе ККМ.</w:t>
            </w:r>
          </w:p>
          <w:p w:rsidR="004D4EEC" w:rsidRPr="0022656D" w:rsidRDefault="004D4EEC" w:rsidP="004D4EEC">
            <w:pPr>
              <w:widowControl w:val="0"/>
              <w:ind w:firstLine="567"/>
              <w:jc w:val="both"/>
              <w:rPr>
                <w:rFonts w:ascii="Tahoma" w:hAnsi="Tahoma" w:cs="Tahoma"/>
                <w:b/>
                <w:color w:val="000000"/>
                <w:sz w:val="20"/>
                <w:szCs w:val="20"/>
                <w:shd w:val="clear" w:color="auto" w:fill="FFFFFF"/>
              </w:rPr>
            </w:pPr>
            <w:r w:rsidRPr="0022656D">
              <w:rPr>
                <w:rFonts w:ascii="Tahoma" w:hAnsi="Tahoma" w:cs="Tahoma"/>
                <w:color w:val="000000"/>
                <w:sz w:val="20"/>
                <w:szCs w:val="20"/>
                <w:shd w:val="clear" w:color="auto" w:fill="FFFFFF"/>
              </w:rPr>
              <w:t>- Требования к ОФД:</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1. Наличие Личного кабинета Налогоплательщика в ОФД</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2. Отправка чека Покупателю по электронной почте</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3. Отправка чека Покупателю по SMS</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4. Пакетное подключения ККТ к ОФД</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5. Отслеживания статуса ККТ (мониторинг)</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6. Отслеживание срока окончания ФН</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7. Наличие анализа ABC, XYZ, ABC-XYZ</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8. Возможность постановки ККТ на учет в ФНС через личный кабинет ОФД</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9. Отправка отчетов ОФД по заданным параметрам на e-mail с установленной регулярностью</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10. Настройка роли каждого пользователя в ЛК с разграничением прав доступа</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11. Доступ к юридически значимому электронному документообороту</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12. Наличие возможности регистрации в системе маркировки товаров</w:t>
            </w:r>
          </w:p>
          <w:p w:rsidR="004D4EEC" w:rsidRPr="0022656D" w:rsidRDefault="004D4EEC" w:rsidP="004D4EEC">
            <w:pPr>
              <w:widowControl w:val="0"/>
              <w:shd w:val="clear" w:color="auto" w:fill="FFFFFF"/>
              <w:ind w:firstLine="567"/>
              <w:jc w:val="both"/>
              <w:rPr>
                <w:rFonts w:ascii="Tahoma" w:hAnsi="Tahoma" w:cs="Tahoma"/>
                <w:b/>
                <w:color w:val="000000"/>
                <w:sz w:val="20"/>
                <w:szCs w:val="20"/>
                <w:shd w:val="clear" w:color="auto" w:fill="FFFFFF"/>
              </w:rPr>
            </w:pPr>
            <w:r w:rsidRPr="0022656D">
              <w:rPr>
                <w:rFonts w:ascii="Tahoma" w:hAnsi="Tahoma" w:cs="Tahoma"/>
                <w:color w:val="000000"/>
                <w:sz w:val="20"/>
                <w:szCs w:val="20"/>
                <w:shd w:val="clear" w:color="auto" w:fill="FFFFFF"/>
              </w:rPr>
              <w:t>13. Наличие у ОФД разрешающих документов и лицензий:</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Экспертное заключение о соответствии технических средств оператора фискальных данных требованиям законодательства Российской федерации о применении контрольно-кассовой техники</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Лицензия на оказание телематических услуги связи</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Лицензия ФСБ России на деятельность по распространению (шифровальных) криптографических средств</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Лицензия ФСБ России на деятельность по техническому обслуживанию шифровальных (криптографических) средств</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Лицензия ФСБ России на деятельность по оказанию услуг в области шифрования информации</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Лицензия ФСТЭК</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Разрешение на обработку фискальных от контролирующего органа</w:t>
            </w:r>
          </w:p>
          <w:p w:rsidR="004D4EEC" w:rsidRPr="0022656D" w:rsidRDefault="004D4EEC" w:rsidP="004D4EEC">
            <w:pPr>
              <w:widowControl w:val="0"/>
              <w:shd w:val="clear" w:color="auto" w:fill="FFFFFF"/>
              <w:ind w:firstLine="567"/>
              <w:jc w:val="both"/>
              <w:rPr>
                <w:rFonts w:ascii="Tahoma" w:hAnsi="Tahoma" w:cs="Tahoma"/>
                <w:color w:val="000000"/>
                <w:sz w:val="20"/>
                <w:szCs w:val="20"/>
                <w:shd w:val="clear" w:color="auto" w:fill="FFFFFF"/>
              </w:rPr>
            </w:pPr>
            <w:r w:rsidRPr="0022656D">
              <w:rPr>
                <w:rFonts w:ascii="Tahoma" w:hAnsi="Tahoma" w:cs="Tahoma"/>
                <w:color w:val="000000"/>
                <w:sz w:val="20"/>
                <w:szCs w:val="20"/>
                <w:shd w:val="clear" w:color="auto" w:fill="FFFFFF"/>
              </w:rPr>
              <w:t>- Лицензия на услуги связи по передаче данных, за исключением услуг связи по передаче данных для целей передачи голосовой информации.</w:t>
            </w:r>
          </w:p>
          <w:p w:rsidR="004D4EEC" w:rsidRPr="0022656D" w:rsidRDefault="004D4EEC" w:rsidP="004D4EEC">
            <w:pPr>
              <w:jc w:val="both"/>
              <w:rPr>
                <w:rFonts w:ascii="Tahoma" w:hAnsi="Tahoma" w:cs="Tahoma"/>
                <w:sz w:val="20"/>
                <w:szCs w:val="20"/>
              </w:rPr>
            </w:pP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lastRenderedPageBreak/>
              <w:t>6</w:t>
            </w:r>
          </w:p>
        </w:tc>
        <w:tc>
          <w:tcPr>
            <w:tcW w:w="2978"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pacing w:line="276" w:lineRule="auto"/>
              <w:rPr>
                <w:rFonts w:ascii="Tahoma" w:hAnsi="Tahoma" w:cs="Tahoma"/>
                <w:sz w:val="20"/>
                <w:szCs w:val="20"/>
                <w:lang w:eastAsia="ru-RU"/>
              </w:rPr>
            </w:pPr>
            <w:r w:rsidRPr="0022656D">
              <w:rPr>
                <w:rFonts w:ascii="Tahoma" w:hAnsi="Tahoma" w:cs="Tahoma"/>
                <w:sz w:val="20"/>
                <w:szCs w:val="20"/>
                <w:lang w:eastAsia="ru-RU"/>
              </w:rPr>
              <w:t>Требования к качеству и безопасности оказания услуги</w:t>
            </w:r>
          </w:p>
          <w:p w:rsidR="004D4EEC" w:rsidRPr="0022656D" w:rsidRDefault="004D4EEC" w:rsidP="004D4EEC">
            <w:pP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hd w:val="clear" w:color="auto" w:fill="FFFFFF"/>
              <w:spacing w:line="276" w:lineRule="auto"/>
              <w:jc w:val="both"/>
              <w:outlineLvl w:val="3"/>
              <w:rPr>
                <w:rFonts w:ascii="Tahoma" w:hAnsi="Tahoma" w:cs="Tahoma"/>
                <w:color w:val="FF0000"/>
                <w:sz w:val="20"/>
                <w:szCs w:val="20"/>
                <w:lang w:eastAsia="ru-RU"/>
              </w:rPr>
            </w:pPr>
            <w:r w:rsidRPr="0022656D">
              <w:rPr>
                <w:rFonts w:ascii="Tahoma" w:hAnsi="Tahoma" w:cs="Tahoma"/>
                <w:bCs/>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4D4EEC" w:rsidRPr="0022656D" w:rsidRDefault="004D4EEC" w:rsidP="004D4EEC">
            <w:pPr>
              <w:widowControl w:val="0"/>
              <w:spacing w:after="200" w:line="276" w:lineRule="auto"/>
              <w:contextualSpacing/>
              <w:jc w:val="both"/>
              <w:outlineLvl w:val="2"/>
              <w:rPr>
                <w:rFonts w:ascii="Tahoma" w:eastAsiaTheme="majorEastAsia" w:hAnsi="Tahoma" w:cs="Tahoma"/>
                <w:bCs/>
                <w:sz w:val="20"/>
                <w:szCs w:val="20"/>
              </w:rPr>
            </w:pPr>
            <w:r w:rsidRPr="0022656D">
              <w:rPr>
                <w:rFonts w:ascii="Tahoma" w:eastAsiaTheme="majorEastAsia" w:hAnsi="Tahoma" w:cs="Tahoma"/>
                <w:bCs/>
                <w:sz w:val="20"/>
                <w:szCs w:val="20"/>
              </w:rPr>
              <w:t>Заказчик, обнаруживший после приемки оказанных Услуг отступления от условий заключенного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4D4EEC" w:rsidRPr="0022656D" w:rsidRDefault="004D4EEC" w:rsidP="004D4EEC">
            <w:pPr>
              <w:widowControl w:val="0"/>
              <w:shd w:val="clear" w:color="auto" w:fill="FFFFFF"/>
              <w:autoSpaceDE w:val="0"/>
              <w:autoSpaceDN w:val="0"/>
              <w:adjustRightInd w:val="0"/>
              <w:spacing w:after="200" w:line="276" w:lineRule="auto"/>
              <w:contextualSpacing/>
              <w:jc w:val="both"/>
              <w:rPr>
                <w:rFonts w:ascii="Tahoma" w:eastAsiaTheme="minorEastAsia" w:hAnsi="Tahoma" w:cs="Tahoma"/>
                <w:sz w:val="20"/>
                <w:szCs w:val="20"/>
              </w:rPr>
            </w:pPr>
            <w:r w:rsidRPr="0022656D">
              <w:rPr>
                <w:rFonts w:ascii="Tahoma" w:eastAsiaTheme="minorEastAsia" w:hAnsi="Tahoma" w:cs="Tahoma"/>
                <w:sz w:val="20"/>
                <w:szCs w:val="20"/>
              </w:rPr>
              <w:t xml:space="preserve">В случае отступления от условий заключенного Договора или выявления </w:t>
            </w:r>
            <w:r w:rsidRPr="0022656D">
              <w:rPr>
                <w:rFonts w:ascii="Tahoma" w:eastAsiaTheme="minorEastAsia" w:hAnsi="Tahoma" w:cs="Tahoma"/>
                <w:sz w:val="20"/>
                <w:szCs w:val="20"/>
              </w:rPr>
              <w:lastRenderedPageBreak/>
              <w:t>недостатков, Заказчик вправе по своему выбору:</w:t>
            </w:r>
          </w:p>
          <w:p w:rsidR="004D4EEC" w:rsidRPr="0022656D" w:rsidRDefault="004D4EEC" w:rsidP="004D4EEC">
            <w:pPr>
              <w:widowControl w:val="0"/>
              <w:numPr>
                <w:ilvl w:val="0"/>
                <w:numId w:val="8"/>
              </w:numPr>
              <w:autoSpaceDE w:val="0"/>
              <w:autoSpaceDN w:val="0"/>
              <w:adjustRightInd w:val="0"/>
              <w:contextualSpacing/>
              <w:jc w:val="both"/>
              <w:rPr>
                <w:rFonts w:ascii="Tahoma" w:eastAsiaTheme="minorEastAsia" w:hAnsi="Tahoma" w:cs="Tahoma"/>
                <w:sz w:val="20"/>
                <w:szCs w:val="20"/>
              </w:rPr>
            </w:pPr>
            <w:r w:rsidRPr="0022656D">
              <w:rPr>
                <w:rFonts w:ascii="Tahoma" w:eastAsiaTheme="minorEastAsia" w:hAnsi="Tahoma" w:cs="Tahoma"/>
                <w:sz w:val="20"/>
                <w:szCs w:val="20"/>
              </w:rPr>
              <w:t>потребовать от Исполнителя безвозмездного устранения недостатков;</w:t>
            </w:r>
          </w:p>
          <w:p w:rsidR="004D4EEC" w:rsidRPr="0022656D" w:rsidRDefault="004D4EEC" w:rsidP="004D4EEC">
            <w:pPr>
              <w:widowControl w:val="0"/>
              <w:numPr>
                <w:ilvl w:val="0"/>
                <w:numId w:val="8"/>
              </w:numPr>
              <w:autoSpaceDE w:val="0"/>
              <w:autoSpaceDN w:val="0"/>
              <w:adjustRightInd w:val="0"/>
              <w:contextualSpacing/>
              <w:jc w:val="both"/>
              <w:rPr>
                <w:rFonts w:ascii="Tahoma" w:eastAsiaTheme="minorEastAsia" w:hAnsi="Tahoma" w:cs="Tahoma"/>
                <w:sz w:val="20"/>
                <w:szCs w:val="20"/>
              </w:rPr>
            </w:pPr>
            <w:r w:rsidRPr="0022656D">
              <w:rPr>
                <w:rFonts w:ascii="Tahoma" w:eastAsiaTheme="minorEastAsia" w:hAnsi="Tahoma" w:cs="Tahoma"/>
                <w:sz w:val="20"/>
                <w:szCs w:val="20"/>
              </w:rPr>
              <w:t>потребовать от Исполнителя соразмерного уменьшения Цены Услуг;</w:t>
            </w:r>
          </w:p>
          <w:p w:rsidR="004D4EEC" w:rsidRPr="0022656D" w:rsidRDefault="004D4EEC" w:rsidP="004D4EEC">
            <w:pPr>
              <w:widowControl w:val="0"/>
              <w:numPr>
                <w:ilvl w:val="0"/>
                <w:numId w:val="8"/>
              </w:numPr>
              <w:autoSpaceDE w:val="0"/>
              <w:autoSpaceDN w:val="0"/>
              <w:adjustRightInd w:val="0"/>
              <w:contextualSpacing/>
              <w:jc w:val="both"/>
              <w:rPr>
                <w:rFonts w:ascii="Tahoma" w:eastAsiaTheme="minorEastAsia" w:hAnsi="Tahoma" w:cs="Tahoma"/>
                <w:sz w:val="20"/>
                <w:szCs w:val="20"/>
              </w:rPr>
            </w:pPr>
            <w:r w:rsidRPr="0022656D">
              <w:rPr>
                <w:rFonts w:ascii="Tahoma" w:eastAsiaTheme="minorEastAsi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4D4EEC" w:rsidRPr="0022656D" w:rsidRDefault="004D4EEC" w:rsidP="004D4EEC">
            <w:pPr>
              <w:shd w:val="clear" w:color="auto" w:fill="FFFFFF"/>
              <w:spacing w:line="276" w:lineRule="auto"/>
              <w:jc w:val="both"/>
              <w:outlineLvl w:val="3"/>
              <w:rPr>
                <w:rFonts w:ascii="Tahoma" w:hAnsi="Tahoma" w:cs="Tahoma"/>
                <w:color w:val="FF0000"/>
                <w:sz w:val="20"/>
                <w:szCs w:val="20"/>
              </w:rPr>
            </w:pPr>
            <w:r w:rsidRPr="0022656D">
              <w:rPr>
                <w:rFonts w:ascii="Tahoma" w:eastAsiaTheme="minorEastAsia" w:hAnsi="Tahoma" w:cs="Tahoma"/>
                <w:sz w:val="20"/>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lastRenderedPageBreak/>
              <w:t>7</w:t>
            </w:r>
          </w:p>
        </w:tc>
        <w:tc>
          <w:tcPr>
            <w:tcW w:w="2978"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hd w:val="clear" w:color="auto" w:fill="FFFFFF"/>
              <w:spacing w:line="276" w:lineRule="auto"/>
              <w:outlineLvl w:val="3"/>
              <w:rPr>
                <w:rFonts w:ascii="Tahoma" w:hAnsi="Tahoma" w:cs="Tahoma"/>
                <w:sz w:val="20"/>
                <w:szCs w:val="20"/>
              </w:rPr>
            </w:pPr>
            <w:r w:rsidRPr="0022656D">
              <w:rPr>
                <w:rFonts w:ascii="Tahoma" w:hAnsi="Tahoma" w:cs="Tahoma"/>
                <w:sz w:val="20"/>
                <w:szCs w:val="20"/>
              </w:rPr>
              <w:t>Требования к результатам услуги. Порядок сдачи и приемки результатов услуги</w:t>
            </w:r>
          </w:p>
          <w:p w:rsidR="004D4EEC" w:rsidRPr="0022656D" w:rsidRDefault="004D4EEC" w:rsidP="004D4EEC">
            <w:pPr>
              <w:spacing w:line="276" w:lineRule="auto"/>
              <w:ind w:left="1287"/>
              <w:rPr>
                <w:rFonts w:ascii="Tahoma" w:hAnsi="Tahoma" w:cs="Tahoma"/>
                <w:sz w:val="20"/>
                <w:szCs w:val="20"/>
                <w:lang w:eastAsia="ru-RU"/>
              </w:rPr>
            </w:pPr>
          </w:p>
        </w:tc>
        <w:tc>
          <w:tcPr>
            <w:tcW w:w="7229"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tabs>
                <w:tab w:val="left" w:pos="709"/>
              </w:tabs>
              <w:snapToGrid w:val="0"/>
              <w:spacing w:line="276" w:lineRule="auto"/>
              <w:jc w:val="both"/>
              <w:rPr>
                <w:rFonts w:ascii="Tahoma" w:hAnsi="Tahoma" w:cs="Tahoma"/>
                <w:sz w:val="20"/>
                <w:szCs w:val="20"/>
                <w:lang w:eastAsia="ru-RU"/>
              </w:rPr>
            </w:pPr>
            <w:r w:rsidRPr="0022656D">
              <w:rPr>
                <w:rFonts w:ascii="Tahoma" w:hAnsi="Tahoma" w:cs="Tahoma"/>
                <w:sz w:val="20"/>
                <w:szCs w:val="20"/>
                <w:lang w:eastAsia="ru-RU"/>
              </w:rPr>
              <w:t xml:space="preserve"> </w:t>
            </w:r>
            <w:r w:rsidRPr="0022656D">
              <w:rPr>
                <w:rFonts w:ascii="Tahoma" w:hAnsi="Tahoma" w:cs="Tahoma"/>
                <w:sz w:val="20"/>
                <w:szCs w:val="20"/>
              </w:rPr>
              <w:t xml:space="preserve">По окончанию оказания Услуг Исполнитель обязан незамедлительно уведомить Заказчика о готовности к сдаче оказанных Услуг. </w:t>
            </w:r>
          </w:p>
          <w:p w:rsidR="004D4EEC" w:rsidRPr="0022656D" w:rsidRDefault="004D4EEC" w:rsidP="004D4EEC">
            <w:pPr>
              <w:contextualSpacing/>
              <w:jc w:val="both"/>
              <w:rPr>
                <w:rFonts w:ascii="Tahoma" w:hAnsi="Tahoma" w:cs="Tahoma"/>
                <w:sz w:val="20"/>
                <w:szCs w:val="20"/>
              </w:rPr>
            </w:pPr>
            <w:r w:rsidRPr="0022656D">
              <w:rPr>
                <w:rFonts w:ascii="Tahoma" w:hAnsi="Tahoma" w:cs="Tahoma"/>
                <w:sz w:val="20"/>
                <w:szCs w:val="20"/>
              </w:rPr>
              <w:t xml:space="preserve"> Приемка оказанных Услуг осуществляется после исполнения Сторонами обязательств, предусмотренных Договором, в соответствии с условиями Договора.  Исполнитель передает Заказчику до начала приемки результата оказанных Услуг два экземпляра акта оказанных Услуг/ УПД подписанных Исполнителем.</w:t>
            </w:r>
          </w:p>
          <w:p w:rsidR="004D4EEC" w:rsidRPr="0022656D" w:rsidRDefault="004D4EEC" w:rsidP="004D4EEC">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22656D">
              <w:rPr>
                <w:rFonts w:ascii="Tahoma" w:hAnsi="Tahoma" w:cs="Tahoma"/>
                <w:sz w:val="20"/>
                <w:szCs w:val="20"/>
              </w:rPr>
              <w:t xml:space="preserve"> Заказчик обязан в срок не более 7 (семи)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4D4EEC" w:rsidRPr="0022656D" w:rsidRDefault="004D4EEC" w:rsidP="004D4EEC">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22656D">
              <w:rPr>
                <w:rFonts w:ascii="Tahoma" w:hAnsi="Tahoma" w:cs="Tahoma"/>
                <w:sz w:val="20"/>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4D4EEC" w:rsidRPr="0022656D" w:rsidRDefault="004D4EEC" w:rsidP="004D4EEC">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22656D">
              <w:rPr>
                <w:rFonts w:ascii="Tahoma" w:hAnsi="Tahoma" w:cs="Tahoma"/>
                <w:sz w:val="20"/>
                <w:szCs w:val="20"/>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4D4EEC" w:rsidRPr="0022656D" w:rsidRDefault="004D4EEC" w:rsidP="004D4EEC">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22656D">
              <w:rPr>
                <w:rFonts w:ascii="Tahoma" w:hAnsi="Tahoma" w:cs="Tahoma"/>
                <w:sz w:val="20"/>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tc>
      </w:tr>
      <w:tr w:rsidR="004D4EEC" w:rsidRPr="0022656D" w:rsidTr="0022656D">
        <w:tc>
          <w:tcPr>
            <w:tcW w:w="567"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jc w:val="center"/>
              <w:rPr>
                <w:rFonts w:ascii="Tahoma" w:hAnsi="Tahoma" w:cs="Tahoma"/>
                <w:sz w:val="20"/>
                <w:szCs w:val="20"/>
              </w:rPr>
            </w:pPr>
            <w:r w:rsidRPr="0022656D">
              <w:rPr>
                <w:rFonts w:ascii="Tahoma" w:hAnsi="Tahoma" w:cs="Tahoma"/>
                <w:sz w:val="20"/>
                <w:szCs w:val="20"/>
              </w:rPr>
              <w:t>8</w:t>
            </w:r>
          </w:p>
        </w:tc>
        <w:tc>
          <w:tcPr>
            <w:tcW w:w="2978" w:type="dxa"/>
            <w:tcBorders>
              <w:top w:val="single" w:sz="4" w:space="0" w:color="auto"/>
              <w:left w:val="single" w:sz="4" w:space="0" w:color="auto"/>
              <w:bottom w:val="single" w:sz="4" w:space="0" w:color="auto"/>
              <w:right w:val="single" w:sz="4" w:space="0" w:color="auto"/>
            </w:tcBorders>
            <w:hideMark/>
          </w:tcPr>
          <w:p w:rsidR="004D4EEC" w:rsidRPr="0022656D" w:rsidRDefault="004D4EEC" w:rsidP="004D4EEC">
            <w:pPr>
              <w:shd w:val="clear" w:color="auto" w:fill="FFFFFF"/>
              <w:spacing w:line="276" w:lineRule="auto"/>
              <w:outlineLvl w:val="3"/>
              <w:rPr>
                <w:rFonts w:ascii="Tahoma" w:hAnsi="Tahoma" w:cs="Tahoma"/>
                <w:sz w:val="20"/>
                <w:szCs w:val="20"/>
              </w:rPr>
            </w:pPr>
            <w:r w:rsidRPr="0022656D">
              <w:rPr>
                <w:rFonts w:ascii="Tahoma" w:hAnsi="Tahoma" w:cs="Tahoma"/>
                <w:sz w:val="20"/>
                <w:szCs w:val="20"/>
              </w:rPr>
              <w:t>Требования к гарантийному сроку услуги и (или) объему предоставления гарантий их качества</w:t>
            </w:r>
          </w:p>
        </w:tc>
        <w:tc>
          <w:tcPr>
            <w:tcW w:w="7229" w:type="dxa"/>
            <w:tcBorders>
              <w:top w:val="single" w:sz="4" w:space="0" w:color="auto"/>
              <w:left w:val="single" w:sz="4" w:space="0" w:color="auto"/>
              <w:bottom w:val="single" w:sz="4" w:space="0" w:color="auto"/>
              <w:right w:val="single" w:sz="4" w:space="0" w:color="auto"/>
            </w:tcBorders>
          </w:tcPr>
          <w:p w:rsidR="004D4EEC" w:rsidRPr="0022656D" w:rsidRDefault="004D4EEC" w:rsidP="004D4EEC">
            <w:pPr>
              <w:shd w:val="clear" w:color="auto" w:fill="FFFFFF"/>
              <w:spacing w:line="276" w:lineRule="auto"/>
              <w:jc w:val="both"/>
              <w:rPr>
                <w:rFonts w:ascii="Tahoma" w:hAnsi="Tahoma" w:cs="Tahoma"/>
                <w:sz w:val="20"/>
                <w:szCs w:val="20"/>
                <w:lang w:eastAsia="ru-RU"/>
              </w:rPr>
            </w:pPr>
            <w:r w:rsidRPr="0022656D">
              <w:rPr>
                <w:rFonts w:ascii="Tahoma" w:hAnsi="Tahoma" w:cs="Tahoma"/>
                <w:color w:val="000000" w:themeColor="text1"/>
                <w:sz w:val="20"/>
                <w:szCs w:val="20"/>
              </w:rPr>
              <w:t>Гарантии качества распространяются на Услуги, оказанные Исполнителем по Договору</w:t>
            </w:r>
            <w:r w:rsidRPr="0022656D">
              <w:rPr>
                <w:rFonts w:ascii="Tahoma" w:hAnsi="Tahoma" w:cs="Tahoma"/>
                <w:sz w:val="20"/>
                <w:szCs w:val="20"/>
              </w:rPr>
              <w:t>.</w:t>
            </w:r>
          </w:p>
        </w:tc>
      </w:tr>
    </w:tbl>
    <w:p w:rsidR="00DA1559" w:rsidRPr="0022656D" w:rsidRDefault="00DA1559" w:rsidP="00DA1559">
      <w:pPr>
        <w:jc w:val="center"/>
        <w:rPr>
          <w:rFonts w:ascii="Tahoma" w:hAnsi="Tahoma" w:cs="Tahoma"/>
          <w:sz w:val="20"/>
          <w:szCs w:val="20"/>
        </w:rPr>
      </w:pPr>
    </w:p>
    <w:p w:rsidR="00DA1559" w:rsidRPr="0022656D" w:rsidRDefault="00DA1559" w:rsidP="00DA1559">
      <w:pPr>
        <w:spacing w:after="0" w:line="276" w:lineRule="auto"/>
        <w:jc w:val="both"/>
        <w:rPr>
          <w:rFonts w:ascii="Tahoma" w:eastAsia="Times New Roman" w:hAnsi="Tahoma" w:cs="Tahoma"/>
          <w:sz w:val="20"/>
          <w:szCs w:val="20"/>
          <w:lang w:eastAsia="ru-RU"/>
        </w:rPr>
      </w:pPr>
    </w:p>
    <w:p w:rsidR="00A32CA8" w:rsidRPr="0022656D" w:rsidRDefault="00A32CA8">
      <w:pPr>
        <w:rPr>
          <w:rFonts w:ascii="Tahoma" w:hAnsi="Tahoma" w:cs="Tahoma"/>
          <w:sz w:val="20"/>
          <w:szCs w:val="20"/>
        </w:rPr>
      </w:pPr>
    </w:p>
    <w:p w:rsidR="00DA1559" w:rsidRPr="0022656D" w:rsidRDefault="00DA1559">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pPr>
        <w:rPr>
          <w:rFonts w:ascii="Tahoma" w:hAnsi="Tahoma" w:cs="Tahoma"/>
          <w:sz w:val="20"/>
          <w:szCs w:val="20"/>
        </w:rPr>
      </w:pPr>
    </w:p>
    <w:p w:rsidR="0022656D" w:rsidRPr="0022656D" w:rsidRDefault="0022656D" w:rsidP="0022656D">
      <w:pPr>
        <w:spacing w:after="0" w:line="240" w:lineRule="atLeast"/>
        <w:jc w:val="right"/>
        <w:rPr>
          <w:rFonts w:ascii="Tahoma" w:eastAsiaTheme="minorEastAsia" w:hAnsi="Tahoma" w:cs="Tahoma"/>
          <w:sz w:val="20"/>
          <w:szCs w:val="20"/>
          <w:lang w:eastAsia="ru-RU"/>
        </w:rPr>
      </w:pPr>
      <w:r w:rsidRPr="0022656D">
        <w:rPr>
          <w:rFonts w:ascii="Tahoma" w:eastAsiaTheme="minorEastAsia" w:hAnsi="Tahoma" w:cs="Tahoma"/>
          <w:sz w:val="20"/>
          <w:szCs w:val="20"/>
          <w:lang w:eastAsia="ru-RU"/>
        </w:rPr>
        <w:lastRenderedPageBreak/>
        <w:t>Приложение №1.1 к Техническому заданию</w:t>
      </w:r>
    </w:p>
    <w:p w:rsidR="0022656D" w:rsidRPr="0022656D" w:rsidRDefault="0022656D" w:rsidP="0022656D">
      <w:pPr>
        <w:spacing w:after="0" w:line="240" w:lineRule="atLeast"/>
        <w:jc w:val="right"/>
        <w:rPr>
          <w:rFonts w:ascii="Tahoma" w:eastAsiaTheme="minorEastAsia" w:hAnsi="Tahoma" w:cs="Tahoma"/>
          <w:sz w:val="20"/>
          <w:szCs w:val="20"/>
          <w:lang w:eastAsia="ru-RU"/>
        </w:rPr>
      </w:pPr>
    </w:p>
    <w:p w:rsidR="0022656D" w:rsidRPr="0022656D" w:rsidRDefault="0022656D" w:rsidP="0022656D">
      <w:pPr>
        <w:spacing w:after="120" w:line="240" w:lineRule="atLeast"/>
        <w:jc w:val="center"/>
        <w:rPr>
          <w:rFonts w:ascii="Tahoma" w:eastAsiaTheme="minorEastAsia" w:hAnsi="Tahoma" w:cs="Tahoma"/>
          <w:sz w:val="20"/>
          <w:szCs w:val="20"/>
          <w:lang w:eastAsia="ru-RU"/>
        </w:rPr>
      </w:pPr>
      <w:r w:rsidRPr="0022656D">
        <w:rPr>
          <w:rFonts w:ascii="Tahoma" w:eastAsiaTheme="minorEastAsia" w:hAnsi="Tahoma" w:cs="Tahoma"/>
          <w:b/>
          <w:bCs/>
          <w:sz w:val="20"/>
          <w:szCs w:val="20"/>
          <w:lang w:eastAsia="ru-RU"/>
        </w:rPr>
        <w:t xml:space="preserve">Ориентировочный объем оказываемых услуг </w:t>
      </w:r>
    </w:p>
    <w:p w:rsidR="0022656D" w:rsidRPr="0022656D" w:rsidRDefault="0022656D" w:rsidP="0022656D">
      <w:pPr>
        <w:spacing w:after="200" w:line="240" w:lineRule="atLeast"/>
        <w:jc w:val="center"/>
        <w:rPr>
          <w:rFonts w:ascii="Tahoma" w:eastAsiaTheme="minorEastAsia" w:hAnsi="Tahoma" w:cs="Tahoma"/>
          <w:b/>
          <w:bCs/>
          <w:sz w:val="20"/>
          <w:szCs w:val="20"/>
          <w:lang w:eastAsia="ru-RU"/>
        </w:rPr>
      </w:pPr>
      <w:r w:rsidRPr="0022656D">
        <w:rPr>
          <w:rFonts w:ascii="Tahoma" w:eastAsiaTheme="minorEastAsia" w:hAnsi="Tahoma" w:cs="Tahoma"/>
          <w:b/>
          <w:bCs/>
          <w:sz w:val="20"/>
          <w:szCs w:val="20"/>
          <w:lang w:eastAsia="ru-RU"/>
        </w:rPr>
        <w:t> по замене и активации фискальных накопителей с предоставлением услуг оператора фискальных данных</w:t>
      </w:r>
    </w:p>
    <w:p w:rsidR="0022656D" w:rsidRPr="0022656D" w:rsidRDefault="0022656D">
      <w:pPr>
        <w:rPr>
          <w:rFonts w:ascii="Tahoma" w:hAnsi="Tahoma" w:cs="Tahoma"/>
          <w:sz w:val="20"/>
          <w:szCs w:val="20"/>
        </w:rPr>
      </w:pPr>
    </w:p>
    <w:tbl>
      <w:tblPr>
        <w:tblW w:w="10207" w:type="dxa"/>
        <w:tblInd w:w="-836" w:type="dxa"/>
        <w:tblCellMar>
          <w:top w:w="15" w:type="dxa"/>
          <w:left w:w="15" w:type="dxa"/>
          <w:bottom w:w="15" w:type="dxa"/>
          <w:right w:w="15" w:type="dxa"/>
        </w:tblCellMar>
        <w:tblLook w:val="04A0" w:firstRow="1" w:lastRow="0" w:firstColumn="1" w:lastColumn="0" w:noHBand="0" w:noVBand="1"/>
      </w:tblPr>
      <w:tblGrid>
        <w:gridCol w:w="993"/>
        <w:gridCol w:w="3402"/>
        <w:gridCol w:w="4536"/>
        <w:gridCol w:w="1276"/>
      </w:tblGrid>
      <w:tr w:rsidR="0022656D" w:rsidRPr="0022656D" w:rsidTr="00E2715D">
        <w:trPr>
          <w:trHeight w:val="885"/>
        </w:trPr>
        <w:tc>
          <w:tcPr>
            <w:tcW w:w="993" w:type="dxa"/>
            <w:tcBorders>
              <w:top w:val="single" w:sz="8" w:space="0" w:color="000000"/>
              <w:left w:val="single" w:sz="8" w:space="0" w:color="000000"/>
              <w:bottom w:val="single" w:sz="8" w:space="0" w:color="000000"/>
              <w:right w:val="single" w:sz="8" w:space="0" w:color="000000"/>
            </w:tcBorders>
            <w:noWrap/>
            <w:vAlign w:val="bottom"/>
            <w:hideMark/>
          </w:tcPr>
          <w:p w:rsidR="0022656D" w:rsidRPr="0022656D" w:rsidRDefault="0022656D" w:rsidP="0022656D">
            <w:pPr>
              <w:spacing w:after="0" w:line="240" w:lineRule="atLeast"/>
              <w:ind w:left="100" w:right="100"/>
              <w:rPr>
                <w:rFonts w:ascii="Tahoma" w:eastAsiaTheme="minorEastAsia" w:hAnsi="Tahoma" w:cs="Tahoma"/>
                <w:sz w:val="20"/>
                <w:szCs w:val="20"/>
                <w:lang w:eastAsia="ru-RU"/>
              </w:rPr>
            </w:pPr>
            <w:r w:rsidRPr="0022656D">
              <w:rPr>
                <w:rFonts w:ascii="Tahoma" w:eastAsiaTheme="minorEastAsia" w:hAnsi="Tahoma" w:cs="Tahoma"/>
                <w:b/>
                <w:bCs/>
                <w:sz w:val="20"/>
                <w:szCs w:val="20"/>
                <w:lang w:eastAsia="ru-RU"/>
              </w:rPr>
              <w:t>№ п/п</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rPr>
                <w:rFonts w:ascii="Tahoma" w:eastAsiaTheme="minorEastAsia" w:hAnsi="Tahoma" w:cs="Tahoma"/>
                <w:sz w:val="20"/>
                <w:szCs w:val="20"/>
                <w:lang w:eastAsia="ru-RU"/>
              </w:rPr>
            </w:pPr>
            <w:r w:rsidRPr="0022656D">
              <w:rPr>
                <w:rFonts w:ascii="Tahoma" w:eastAsiaTheme="minorEastAsia" w:hAnsi="Tahoma" w:cs="Tahoma"/>
                <w:b/>
                <w:bCs/>
                <w:sz w:val="20"/>
                <w:szCs w:val="20"/>
                <w:lang w:eastAsia="ru-RU"/>
              </w:rPr>
              <w:t>Наименование города для предоставления услуг (место оказания услуг)</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jc w:val="center"/>
              <w:rPr>
                <w:rFonts w:ascii="Tahoma" w:eastAsiaTheme="minorEastAsia" w:hAnsi="Tahoma" w:cs="Tahoma"/>
                <w:sz w:val="20"/>
                <w:szCs w:val="20"/>
                <w:lang w:eastAsia="ru-RU"/>
              </w:rPr>
            </w:pPr>
            <w:r w:rsidRPr="0022656D">
              <w:rPr>
                <w:rFonts w:ascii="Tahoma" w:eastAsiaTheme="minorEastAsia" w:hAnsi="Tahoma" w:cs="Tahoma"/>
                <w:b/>
                <w:bCs/>
                <w:sz w:val="20"/>
                <w:szCs w:val="20"/>
                <w:lang w:eastAsia="ru-RU"/>
              </w:rPr>
              <w:t>Наименование ККМ, подлежащих замене ФН</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rPr>
                <w:rFonts w:ascii="Tahoma" w:eastAsiaTheme="minorEastAsia" w:hAnsi="Tahoma" w:cs="Tahoma"/>
                <w:sz w:val="20"/>
                <w:szCs w:val="20"/>
                <w:lang w:eastAsia="ru-RU"/>
              </w:rPr>
            </w:pPr>
            <w:r w:rsidRPr="0022656D">
              <w:rPr>
                <w:rFonts w:ascii="Tahoma" w:eastAsiaTheme="minorEastAsia" w:hAnsi="Tahoma" w:cs="Tahoma"/>
                <w:b/>
                <w:bCs/>
                <w:sz w:val="20"/>
                <w:szCs w:val="20"/>
                <w:lang w:eastAsia="ru-RU"/>
              </w:rPr>
              <w:t>кол-во ед.</w:t>
            </w:r>
          </w:p>
        </w:tc>
      </w:tr>
      <w:tr w:rsidR="0022656D" w:rsidRPr="0022656D" w:rsidTr="00E2715D">
        <w:trPr>
          <w:trHeight w:val="390"/>
        </w:trPr>
        <w:tc>
          <w:tcPr>
            <w:tcW w:w="993"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jc w:val="center"/>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1</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Бузулук</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21</w:t>
            </w:r>
          </w:p>
        </w:tc>
      </w:tr>
      <w:tr w:rsidR="0022656D" w:rsidRPr="0022656D" w:rsidTr="00E2715D">
        <w:trPr>
          <w:trHeight w:val="525"/>
        </w:trPr>
        <w:tc>
          <w:tcPr>
            <w:tcW w:w="993"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jc w:val="center"/>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2</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Орск</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28</w:t>
            </w:r>
          </w:p>
        </w:tc>
      </w:tr>
      <w:tr w:rsidR="0022656D" w:rsidRPr="0022656D" w:rsidTr="00E2715D">
        <w:trPr>
          <w:trHeight w:val="450"/>
        </w:trPr>
        <w:tc>
          <w:tcPr>
            <w:tcW w:w="993"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jc w:val="center"/>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3</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Оренбург</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40</w:t>
            </w:r>
          </w:p>
        </w:tc>
      </w:tr>
      <w:tr w:rsidR="0022656D" w:rsidRPr="0022656D" w:rsidTr="00E2715D">
        <w:trPr>
          <w:trHeight w:val="450"/>
        </w:trPr>
        <w:tc>
          <w:tcPr>
            <w:tcW w:w="993"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jc w:val="center"/>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4</w:t>
            </w:r>
          </w:p>
        </w:tc>
        <w:tc>
          <w:tcPr>
            <w:tcW w:w="3402"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Сорочинск</w:t>
            </w:r>
          </w:p>
        </w:tc>
        <w:tc>
          <w:tcPr>
            <w:tcW w:w="4536"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3</w:t>
            </w:r>
          </w:p>
        </w:tc>
      </w:tr>
      <w:tr w:rsidR="0022656D" w:rsidRPr="0022656D" w:rsidTr="00E2715D">
        <w:trPr>
          <w:trHeight w:val="450"/>
        </w:trPr>
        <w:tc>
          <w:tcPr>
            <w:tcW w:w="993"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jc w:val="center"/>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5</w:t>
            </w:r>
          </w:p>
        </w:tc>
        <w:tc>
          <w:tcPr>
            <w:tcW w:w="3402"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Кувандык</w:t>
            </w:r>
          </w:p>
        </w:tc>
        <w:tc>
          <w:tcPr>
            <w:tcW w:w="4536"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tcPr>
          <w:p w:rsidR="0022656D" w:rsidRPr="0022656D" w:rsidRDefault="0022656D" w:rsidP="0022656D">
            <w:pPr>
              <w:spacing w:after="0" w:line="240" w:lineRule="atLeast"/>
              <w:ind w:left="100" w:right="100" w:firstLine="560"/>
              <w:jc w:val="both"/>
              <w:rPr>
                <w:rFonts w:ascii="Tahoma" w:eastAsiaTheme="minorEastAsia" w:hAnsi="Tahoma" w:cs="Tahoma"/>
                <w:sz w:val="20"/>
                <w:szCs w:val="20"/>
                <w:lang w:eastAsia="ru-RU"/>
              </w:rPr>
            </w:pPr>
            <w:r w:rsidRPr="0022656D">
              <w:rPr>
                <w:rFonts w:ascii="Tahoma" w:eastAsiaTheme="minorEastAsia" w:hAnsi="Tahoma" w:cs="Tahoma"/>
                <w:sz w:val="20"/>
                <w:szCs w:val="20"/>
                <w:lang w:eastAsia="ru-RU"/>
              </w:rPr>
              <w:t>5</w:t>
            </w:r>
          </w:p>
        </w:tc>
      </w:tr>
    </w:tbl>
    <w:p w:rsidR="0022656D" w:rsidRPr="0022656D" w:rsidRDefault="0022656D">
      <w:pPr>
        <w:rPr>
          <w:rFonts w:ascii="Tahoma" w:hAnsi="Tahoma" w:cs="Tahoma"/>
          <w:sz w:val="20"/>
          <w:szCs w:val="20"/>
        </w:rPr>
      </w:pPr>
    </w:p>
    <w:sectPr w:rsidR="0022656D" w:rsidRPr="0022656D" w:rsidSect="00DA15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2F4" w:rsidRDefault="001B42F4" w:rsidP="00DA1559">
      <w:pPr>
        <w:spacing w:after="0" w:line="240" w:lineRule="auto"/>
      </w:pPr>
      <w:r>
        <w:separator/>
      </w:r>
    </w:p>
  </w:endnote>
  <w:endnote w:type="continuationSeparator" w:id="0">
    <w:p w:rsidR="001B42F4" w:rsidRDefault="001B42F4" w:rsidP="00DA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2F4" w:rsidRDefault="001B42F4" w:rsidP="00DA1559">
      <w:pPr>
        <w:spacing w:after="0" w:line="240" w:lineRule="auto"/>
      </w:pPr>
      <w:r>
        <w:separator/>
      </w:r>
    </w:p>
  </w:footnote>
  <w:footnote w:type="continuationSeparator" w:id="0">
    <w:p w:rsidR="001B42F4" w:rsidRDefault="001B42F4" w:rsidP="00DA1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59"/>
    <w:rsid w:val="001B42F4"/>
    <w:rsid w:val="0022656D"/>
    <w:rsid w:val="004D4EEC"/>
    <w:rsid w:val="00A32CA8"/>
    <w:rsid w:val="00DA1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E67DC"/>
  <w15:chartTrackingRefBased/>
  <w15:docId w15:val="{7F77B1D4-AA33-4866-B02D-2CD296DE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5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1559"/>
    <w:pPr>
      <w:ind w:left="720"/>
      <w:contextualSpacing/>
    </w:pPr>
  </w:style>
  <w:style w:type="paragraph" w:styleId="a5">
    <w:name w:val="footnote text"/>
    <w:basedOn w:val="a"/>
    <w:link w:val="a6"/>
    <w:uiPriority w:val="99"/>
    <w:semiHidden/>
    <w:unhideWhenUsed/>
    <w:rsid w:val="00DA1559"/>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DA1559"/>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DA1559"/>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8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1224</Words>
  <Characters>6977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Головко Ирина Александровна</dc:creator>
  <cp:keywords/>
  <dc:description/>
  <cp:lastModifiedBy>Головко Ирина Александровна</cp:lastModifiedBy>
  <cp:revision>2</cp:revision>
  <dcterms:created xsi:type="dcterms:W3CDTF">2023-09-18T09:41:00Z</dcterms:created>
  <dcterms:modified xsi:type="dcterms:W3CDTF">2023-09-18T10:41:00Z</dcterms:modified>
</cp:coreProperties>
</file>